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C9" w:rsidRDefault="003D69C9" w:rsidP="003D69C9">
      <w:pPr>
        <w:jc w:val="both"/>
      </w:pPr>
      <w:r>
        <w:t xml:space="preserve"> </w:t>
      </w:r>
    </w:p>
    <w:p w:rsidR="003D69C9" w:rsidRDefault="003D69C9" w:rsidP="003D69C9">
      <w:pPr>
        <w:jc w:val="both"/>
      </w:pPr>
      <w:bookmarkStart w:id="0" w:name="_GoBack"/>
      <w:bookmarkEnd w:id="0"/>
      <w:proofErr w:type="spellStart"/>
      <w:r>
        <w:t>Adama</w:t>
      </w:r>
      <w:proofErr w:type="spellEnd"/>
      <w:r>
        <w:t xml:space="preserve"> BACCO, à la tête de la troupe féminine </w:t>
      </w:r>
      <w:r>
        <w:rPr>
          <w:u w:val="single"/>
        </w:rPr>
        <w:t>BOUAM </w:t>
      </w:r>
      <w:r w:rsidRPr="004D0EBB">
        <w:t xml:space="preserve">comptait en l’an 2000 </w:t>
      </w:r>
      <w:r>
        <w:t xml:space="preserve"> quatre pièces : </w:t>
      </w:r>
      <w:r w:rsidRPr="009A023B">
        <w:rPr>
          <w:i/>
          <w:sz w:val="18"/>
          <w:szCs w:val="18"/>
          <w:u w:val="single"/>
        </w:rPr>
        <w:t>Un jour heureux</w:t>
      </w:r>
      <w:r>
        <w:rPr>
          <w:i/>
          <w:sz w:val="18"/>
          <w:szCs w:val="18"/>
        </w:rPr>
        <w:t>,</w:t>
      </w:r>
      <w:r>
        <w:t xml:space="preserve"> </w:t>
      </w:r>
      <w:r w:rsidRPr="009A023B">
        <w:rPr>
          <w:i/>
          <w:sz w:val="18"/>
          <w:szCs w:val="18"/>
          <w:u w:val="single"/>
        </w:rPr>
        <w:t>La royauté se mérite</w:t>
      </w:r>
      <w:r>
        <w:rPr>
          <w:i/>
          <w:sz w:val="18"/>
          <w:szCs w:val="18"/>
        </w:rPr>
        <w:t xml:space="preserve">, </w:t>
      </w:r>
      <w:r w:rsidRPr="009A023B">
        <w:rPr>
          <w:i/>
          <w:sz w:val="18"/>
          <w:szCs w:val="18"/>
          <w:u w:val="single"/>
        </w:rPr>
        <w:t>Un tabou de moins</w:t>
      </w:r>
      <w:r>
        <w:rPr>
          <w:i/>
          <w:sz w:val="18"/>
          <w:szCs w:val="18"/>
        </w:rPr>
        <w:t xml:space="preserve">, </w:t>
      </w:r>
      <w:r>
        <w:rPr>
          <w:sz w:val="18"/>
          <w:szCs w:val="18"/>
        </w:rPr>
        <w:t xml:space="preserve">et </w:t>
      </w:r>
      <w:r>
        <w:rPr>
          <w:i/>
          <w:sz w:val="18"/>
          <w:szCs w:val="18"/>
        </w:rPr>
        <w:t xml:space="preserve"> </w:t>
      </w:r>
      <w:r w:rsidRPr="009A023B">
        <w:rPr>
          <w:i/>
          <w:sz w:val="18"/>
          <w:szCs w:val="18"/>
        </w:rPr>
        <w:t>« </w:t>
      </w:r>
      <w:r w:rsidRPr="009A023B">
        <w:rPr>
          <w:i/>
          <w:sz w:val="18"/>
          <w:szCs w:val="18"/>
          <w:u w:val="single"/>
        </w:rPr>
        <w:t xml:space="preserve">La famine à </w:t>
      </w:r>
      <w:proofErr w:type="spellStart"/>
      <w:r w:rsidRPr="009A023B">
        <w:rPr>
          <w:i/>
          <w:sz w:val="18"/>
          <w:szCs w:val="18"/>
          <w:u w:val="single"/>
        </w:rPr>
        <w:t>Koussoungoussa</w:t>
      </w:r>
      <w:proofErr w:type="spellEnd"/>
      <w:r w:rsidRPr="009A023B">
        <w:rPr>
          <w:i/>
          <w:sz w:val="18"/>
          <w:szCs w:val="18"/>
        </w:rPr>
        <w:t xml:space="preserve"> » </w:t>
      </w:r>
      <w:r>
        <w:t>est un conte qui justifie l’autorité politique comme on en trouve  dans la tradition</w:t>
      </w:r>
      <w:r>
        <w:rPr>
          <w:rStyle w:val="Appelnotedebasdep"/>
        </w:rPr>
        <w:footnoteReference w:id="1"/>
      </w:r>
      <w:r>
        <w:t> :</w:t>
      </w:r>
    </w:p>
    <w:p w:rsidR="003D69C9" w:rsidRDefault="003D69C9" w:rsidP="003D69C9">
      <w:pPr>
        <w:jc w:val="both"/>
        <w:rPr>
          <w:sz w:val="18"/>
          <w:szCs w:val="18"/>
        </w:rPr>
      </w:pPr>
      <w:r w:rsidRPr="004D0EBB">
        <w:rPr>
          <w:i/>
          <w:sz w:val="18"/>
          <w:szCs w:val="18"/>
        </w:rPr>
        <w:t>Ici, les coutumes ancestrales non respectées et le manque de discipline et d’ordre ont déclenché la famine d’où la nécessité d’organiser le pouvoir en provoquant tout d’abord l’élection démocratique du lion. Un premier conflit chef/sujet éclate à propos de la solution proposée : l’anthropophagie. L’éléphant, candidat opposant, suggère la construction d’un puits autour duquel la végétation  renaît. De ce conflit, une division fondamentale de la population subsistera : les herbivores et les carnivores.</w:t>
      </w:r>
      <w:r w:rsidRPr="004D0EBB">
        <w:rPr>
          <w:i/>
        </w:rPr>
        <w:t xml:space="preserve"> </w:t>
      </w:r>
      <w:r w:rsidRPr="004D0EBB">
        <w:rPr>
          <w:i/>
          <w:sz w:val="18"/>
          <w:szCs w:val="18"/>
        </w:rPr>
        <w:t>Derrière ces conflits chefs/sujets se cache une histoire de lièvre, toujours décevant, incapable de conserver les secrets qu’on lui confie</w:t>
      </w:r>
      <w:r>
        <w:rPr>
          <w:sz w:val="18"/>
          <w:szCs w:val="18"/>
        </w:rPr>
        <w:t>.</w:t>
      </w:r>
    </w:p>
    <w:p w:rsidR="00F23790" w:rsidRDefault="003D69C9" w:rsidP="003D69C9">
      <w:r>
        <w:t>Les spectacles proposées par la compagnie sont pluridisciplinaires,  autour de la marionnette</w:t>
      </w:r>
      <w:r>
        <w:tab/>
        <w:t>(à fils ou figurines plates en carton), avec des percussions et de la danse, animés par les quatre manipulatrices elles-mêmes</w:t>
      </w:r>
      <w:r>
        <w:t>.</w:t>
      </w:r>
    </w:p>
    <w:sectPr w:rsidR="00F2379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F44" w:rsidRDefault="00EF0F44" w:rsidP="003D69C9">
      <w:pPr>
        <w:spacing w:after="0" w:line="240" w:lineRule="auto"/>
      </w:pPr>
      <w:r>
        <w:separator/>
      </w:r>
    </w:p>
  </w:endnote>
  <w:endnote w:type="continuationSeparator" w:id="0">
    <w:p w:rsidR="00EF0F44" w:rsidRDefault="00EF0F44" w:rsidP="003D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F44" w:rsidRDefault="00EF0F44" w:rsidP="003D69C9">
      <w:pPr>
        <w:spacing w:after="0" w:line="240" w:lineRule="auto"/>
      </w:pPr>
      <w:r>
        <w:separator/>
      </w:r>
    </w:p>
  </w:footnote>
  <w:footnote w:type="continuationSeparator" w:id="0">
    <w:p w:rsidR="00EF0F44" w:rsidRDefault="00EF0F44" w:rsidP="003D69C9">
      <w:pPr>
        <w:spacing w:after="0" w:line="240" w:lineRule="auto"/>
      </w:pPr>
      <w:r>
        <w:continuationSeparator/>
      </w:r>
    </w:p>
  </w:footnote>
  <w:footnote w:id="1">
    <w:p w:rsidR="003D69C9" w:rsidRPr="00467F02" w:rsidRDefault="003D69C9" w:rsidP="003D69C9">
      <w:pPr>
        <w:pStyle w:val="Notedebasdepage"/>
      </w:pPr>
      <w:r>
        <w:rPr>
          <w:rStyle w:val="Appelnotedebasdep"/>
        </w:rPr>
        <w:footnoteRef/>
      </w:r>
      <w:r>
        <w:t xml:space="preserve"> Beaucoup de contes justifient pour Geneviève CALAME-GRIAULE, l’autorité politique dans la tradition (voir  G. CALAME-GRIAULE, V. GOROG-KARADY </w:t>
      </w:r>
      <w:r>
        <w:rPr>
          <w:i/>
        </w:rPr>
        <w:t xml:space="preserve">«  La calebasse et le fouet : le thème des objets magiques en Afrique Occidentale » </w:t>
      </w:r>
      <w:r w:rsidRPr="00467F02">
        <w:rPr>
          <w:u w:val="single"/>
        </w:rPr>
        <w:t>in</w:t>
      </w:r>
      <w:r>
        <w:t xml:space="preserve"> : </w:t>
      </w:r>
      <w:r>
        <w:rPr>
          <w:u w:val="single"/>
        </w:rPr>
        <w:t>Cahiers d’Etudes Africaines</w:t>
      </w:r>
      <w:r>
        <w:t>, N° 45, p. 28 et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9C9" w:rsidRDefault="003D69C9">
    <w:pPr>
      <w:pStyle w:val="En-tte"/>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rsidR="003D69C9" w:rsidRDefault="003D69C9">
                              <w:pPr>
                                <w:pStyle w:val="En-tte"/>
                                <w:jc w:val="center"/>
                                <w:rPr>
                                  <w:caps/>
                                  <w:color w:val="FFFFFF" w:themeColor="background1"/>
                                </w:rPr>
                              </w:pPr>
                              <w:r>
                                <w:rPr>
                                  <w:caps/>
                                  <w:color w:val="FFFFFF" w:themeColor="background1"/>
                                </w:rPr>
                                <w:t>repertoire compagnie bouam - Lien Internat AnitA Bednarz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rsidR="003D69C9" w:rsidRDefault="003D69C9">
                        <w:pPr>
                          <w:pStyle w:val="En-tte"/>
                          <w:jc w:val="center"/>
                          <w:rPr>
                            <w:caps/>
                            <w:color w:val="FFFFFF" w:themeColor="background1"/>
                          </w:rPr>
                        </w:pPr>
                        <w:r>
                          <w:rPr>
                            <w:caps/>
                            <w:color w:val="FFFFFF" w:themeColor="background1"/>
                          </w:rPr>
                          <w:t>repertoire compagnie bouam - Lien Internat AnitA Bednarz -</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C9"/>
    <w:rsid w:val="003C7701"/>
    <w:rsid w:val="003D69C9"/>
    <w:rsid w:val="00441ABF"/>
    <w:rsid w:val="00EF0F44"/>
    <w:rsid w:val="00F237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1E2F4A-FE39-4641-9B76-D33BE81A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69C9"/>
    <w:pPr>
      <w:suppressAutoHyphens/>
      <w:autoSpaceDN w:val="0"/>
      <w:spacing w:after="200" w:line="276" w:lineRule="auto"/>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3D69C9"/>
    <w:pPr>
      <w:spacing w:after="0" w:line="240" w:lineRule="auto"/>
    </w:pPr>
    <w:rPr>
      <w:sz w:val="20"/>
      <w:szCs w:val="20"/>
    </w:rPr>
  </w:style>
  <w:style w:type="character" w:customStyle="1" w:styleId="NotedebasdepageCar">
    <w:name w:val="Note de bas de page Car"/>
    <w:basedOn w:val="Policepardfaut"/>
    <w:link w:val="Notedebasdepage"/>
    <w:rsid w:val="003D69C9"/>
    <w:rPr>
      <w:rFonts w:ascii="Calibri" w:eastAsia="Calibri" w:hAnsi="Calibri" w:cs="Times New Roman"/>
      <w:sz w:val="20"/>
      <w:szCs w:val="20"/>
    </w:rPr>
  </w:style>
  <w:style w:type="character" w:styleId="Appelnotedebasdep">
    <w:name w:val="footnote reference"/>
    <w:basedOn w:val="Policepardfaut"/>
    <w:rsid w:val="003D69C9"/>
    <w:rPr>
      <w:position w:val="0"/>
      <w:vertAlign w:val="superscript"/>
    </w:rPr>
  </w:style>
  <w:style w:type="paragraph" w:styleId="En-tte">
    <w:name w:val="header"/>
    <w:basedOn w:val="Normal"/>
    <w:link w:val="En-tteCar"/>
    <w:uiPriority w:val="99"/>
    <w:unhideWhenUsed/>
    <w:rsid w:val="003D69C9"/>
    <w:pPr>
      <w:tabs>
        <w:tab w:val="center" w:pos="4536"/>
        <w:tab w:val="right" w:pos="9072"/>
      </w:tabs>
      <w:spacing w:after="0" w:line="240" w:lineRule="auto"/>
    </w:pPr>
  </w:style>
  <w:style w:type="character" w:customStyle="1" w:styleId="En-tteCar">
    <w:name w:val="En-tête Car"/>
    <w:basedOn w:val="Policepardfaut"/>
    <w:link w:val="En-tte"/>
    <w:uiPriority w:val="99"/>
    <w:rsid w:val="003D69C9"/>
    <w:rPr>
      <w:rFonts w:ascii="Calibri" w:eastAsia="Calibri" w:hAnsi="Calibri" w:cs="Times New Roman"/>
    </w:rPr>
  </w:style>
  <w:style w:type="paragraph" w:styleId="Pieddepage">
    <w:name w:val="footer"/>
    <w:basedOn w:val="Normal"/>
    <w:link w:val="PieddepageCar"/>
    <w:uiPriority w:val="99"/>
    <w:unhideWhenUsed/>
    <w:rsid w:val="003D69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69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965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repertoire compagnie bouam - Lien Internat AnitA Bednarz -</dc:title>
  <dc:subject/>
  <dc:creator>Anita</dc:creator>
  <cp:keywords/>
  <dc:description/>
  <cp:lastModifiedBy>Anita</cp:lastModifiedBy>
  <cp:revision>1</cp:revision>
  <dcterms:created xsi:type="dcterms:W3CDTF">2020-06-12T08:58:00Z</dcterms:created>
  <dcterms:modified xsi:type="dcterms:W3CDTF">2020-06-12T09:02:00Z</dcterms:modified>
</cp:coreProperties>
</file>